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3F269B65" w:rsidR="00651D0C" w:rsidRPr="00ED3908" w:rsidRDefault="004D78C1">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4D78C1">
        <w:rPr>
          <w:rFonts w:asciiTheme="majorEastAsia" w:eastAsiaTheme="majorEastAsia" w:hAnsiTheme="majorEastAsia"/>
          <w:b/>
          <w:bCs/>
          <w:color w:val="333333"/>
          <w:sz w:val="44"/>
          <w:szCs w:val="44"/>
          <w:shd w:val="clear" w:color="auto" w:fill="FFFFFF"/>
        </w:rPr>
        <w:t>宁波市城市土地储备办法</w:t>
      </w:r>
    </w:p>
    <w:p w14:paraId="0EA8B8B4" w14:textId="6414CA0B"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4D78C1" w:rsidRPr="004D78C1">
        <w:rPr>
          <w:rFonts w:ascii="楷体_GB2312" w:eastAsia="楷体_GB2312" w:hAnsi="楷体_GB2312" w:cs="楷体_GB2312" w:hint="eastAsia"/>
          <w:color w:val="333333"/>
          <w:sz w:val="32"/>
          <w:szCs w:val="32"/>
          <w:shd w:val="clear" w:color="auto" w:fill="FFFFFF"/>
        </w:rPr>
        <w:t>2001年4月12日宁波市人民政府令第89号公布 自发布之日起施行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4C5A48C7"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总 则</w:t>
      </w:r>
    </w:p>
    <w:p w14:paraId="3EA6CCF0"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Fonts w:ascii="黑体" w:eastAsia="黑体" w:hAnsi="黑体" w:hint="eastAsia"/>
          <w:color w:val="333333"/>
          <w:sz w:val="32"/>
          <w:szCs w:val="32"/>
          <w:bdr w:val="none" w:sz="0" w:space="0" w:color="auto" w:frame="1"/>
        </w:rPr>
        <w:br/>
      </w:r>
    </w:p>
    <w:p w14:paraId="2010FA7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为盘活存量土地资产，优化土地资源配置，合理利用土地，根据《中华人民共和国土地管理法》、《中华人民共和国城市房地产管理法》和其他有关规定，结合本市实际，制定本办法。</w:t>
      </w:r>
    </w:p>
    <w:p w14:paraId="4664801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本市市区范围内国有土地储备，适用本办法。</w:t>
      </w:r>
    </w:p>
    <w:p w14:paraId="1891DCCD"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本办法所称土地储备，是指城市土地储备机构依据本办法的规定，将需盘活的土地收回、收购予以储存，并通过前期开发利用等形式，盘活存量土地资产，有效配置土地资源的行为。</w:t>
      </w:r>
    </w:p>
    <w:p w14:paraId="2ED06909"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市城市土地储备中心受市人民政府委托，在市城市土地储备管理委员会的领导下，实施土地收购、储备以及出让的前期开发准备等工作。</w:t>
      </w:r>
    </w:p>
    <w:p w14:paraId="0C5A3977"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第五条</w:t>
      </w:r>
      <w:r>
        <w:rPr>
          <w:rFonts w:ascii="Calibri" w:eastAsia="仿宋" w:hAnsi="Calibri" w:cs="Calibri"/>
          <w:color w:val="333333"/>
          <w:sz w:val="32"/>
          <w:szCs w:val="32"/>
        </w:rPr>
        <w:t> </w:t>
      </w:r>
      <w:r>
        <w:rPr>
          <w:rFonts w:ascii="仿宋" w:eastAsia="仿宋" w:hAnsi="仿宋" w:hint="eastAsia"/>
          <w:color w:val="333333"/>
          <w:sz w:val="32"/>
          <w:szCs w:val="32"/>
        </w:rPr>
        <w:t>市土地、计划、城建、规划、财政、房地产、经济等行政主管部门应当按照各自职责，做好土地储备的相关工作。</w:t>
      </w:r>
    </w:p>
    <w:p w14:paraId="7C5B50BC"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下列国有土地应当进行储备：</w:t>
      </w:r>
    </w:p>
    <w:p w14:paraId="56353993"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（一）市区范围内的无主地；</w:t>
      </w:r>
    </w:p>
    <w:p w14:paraId="52EEB137"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（二）为政府带征的土地；</w:t>
      </w:r>
    </w:p>
    <w:p w14:paraId="2A116BA4"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（三）因单位搬迁、解散、撤销、破产、产业结构调整或者其他原因停止使用的原行政划拨土地；</w:t>
      </w:r>
    </w:p>
    <w:p w14:paraId="795B3230"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（四）土地使用期限已满被依法收回的土地；</w:t>
      </w:r>
    </w:p>
    <w:p w14:paraId="3AA163CF"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（五）被依法收回的荒芜、闲置的土地；</w:t>
      </w:r>
    </w:p>
    <w:p w14:paraId="5C7EC627"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（六）被依法没收的土地；</w:t>
      </w:r>
    </w:p>
    <w:p w14:paraId="0684AABA"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（七）以出让方式取得土地使用权后无力继续开发和又不具备转让条件的土地；</w:t>
      </w:r>
    </w:p>
    <w:p w14:paraId="2A964BE8"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（八）土地使用权人申请市城市土地储备中心收购的土地；</w:t>
      </w:r>
    </w:p>
    <w:p w14:paraId="62EACECF"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（九）因实施城市规划或土地整理的需要，市人民政府指令收购的土地；</w:t>
      </w:r>
    </w:p>
    <w:p w14:paraId="650CB8A2"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（十）市人民政府认为其他需要储备的土地。</w:t>
      </w:r>
    </w:p>
    <w:p w14:paraId="34140C19"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集体所有土地需要储备的，应当依法办理土地征用手续。</w:t>
      </w:r>
    </w:p>
    <w:p w14:paraId="0020EE7B"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土地储备实行预先报告制度。市区范围内凡符合本办法规定的储备条件的国有土地，土地使用权人或其主管部门应提前书面报告市城市土地储备中心。</w:t>
      </w:r>
    </w:p>
    <w:p w14:paraId="0A699E88"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对本办法第六条第（九）项范围内的国有土地，由市城市土地储备中心书面通知该土地使用权人申请办理土地收购储备手续。该土地使用权人应当按照市城市土地储备中心的要求申请办理土地收购储备手续。</w:t>
      </w:r>
    </w:p>
    <w:p w14:paraId="10F38394"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市城市土地储备中心应根据产业结构调整、城市规划的要求和市区土地的实际状况，拟定土地储备计划，报市土地储备管理委员会批准后执行。</w:t>
      </w:r>
    </w:p>
    <w:p w14:paraId="690B8125"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对储备土地的利用和管理，应当纳入市国民经济及社会发展计划。</w:t>
      </w:r>
    </w:p>
    <w:p w14:paraId="796668D4"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市区房地产开发、商业、旅游、娱乐等经营性项目建设，必须使用储备的土地。</w:t>
      </w:r>
    </w:p>
    <w:p w14:paraId="68D08340"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土地使用权被依法收回或收购的单位或个人，必须按期、按规定交付土地，并做好土地储备的相关工作。</w:t>
      </w:r>
    </w:p>
    <w:p w14:paraId="2248205E"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符合本办法规定储备条件的土地，土地使用权人未申请储备而擅自转让土地使用权及其地上建筑物、附着物的，其转让行为无效，有关部门不得为其办理审批、登记手续。</w:t>
      </w:r>
    </w:p>
    <w:p w14:paraId="440E8220"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7BA2E681"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第二章 土地使用权收购储备</w:t>
      </w:r>
    </w:p>
    <w:p w14:paraId="3371DDBF"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3254BE08"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无主地、为政府带征的土地、被依法没收和使用期满被依法收回的土地，由市城市土地储备中心直接进行储备。</w:t>
      </w:r>
    </w:p>
    <w:p w14:paraId="780B03FB"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除前款规定以外需要储备的土地，由市城市土地储备中心按照本办法的规定进行收购。</w:t>
      </w:r>
    </w:p>
    <w:p w14:paraId="59A4B489"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土地收购的一般程序为：</w:t>
      </w:r>
    </w:p>
    <w:p w14:paraId="1EAECB75"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（一）申请收购。符合本办法规定的土地收购条件的，其土地使用权人应持有关资料，向市城市土地储备中心提出收购申请。</w:t>
      </w:r>
    </w:p>
    <w:p w14:paraId="32BFF942"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（二）权属核查。市城市土地储备中心对申请人提供的土地面积、地上建筑物面积、四至范围、土地用途等进行实地核查，并到有关权属登记管理部门进行核实。</w:t>
      </w:r>
    </w:p>
    <w:p w14:paraId="09CA23D5"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（三）征询意见。市城市土地储备中心根据申请人提出的申请和实地核查的情况，向市城市规划行政主管部门征求意见；进行房地产综合开发的，还应向市城建行政主管部门征求开发意见。</w:t>
      </w:r>
    </w:p>
    <w:p w14:paraId="2ACD6777"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（四）费用测算。市城市土地储备中心根据调查和征询意见结果， 会同财政等有关部门进行土地收购补偿费用测算；实行土地置换的， 进行相应的土地费用测算。</w:t>
      </w:r>
    </w:p>
    <w:p w14:paraId="250705D7"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五）方案报批。市城市土地储备中心根据土地权属调查、收购费用测算的结果，提出土地收购的具体方案，报市财政、土地行政主管部门审批；其中特殊地块的收购储备方案还须报市城市土地储备管理委员会批准。</w:t>
      </w:r>
    </w:p>
    <w:p w14:paraId="1977D922"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（六）签订合同。收购方案经批准后，由市城市土地储备中心与原土地使用权人签订《国有土地使用权收购合同》。</w:t>
      </w:r>
    </w:p>
    <w:p w14:paraId="25D1A088"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（七）收购补偿。市城市土地储备中心根据《国有土地使用权收购合同》约定的金额、期限和方式，向原土地使用权人支付土地收购补偿费用；实行土地置换的，进行土地置换差价结算。</w:t>
      </w:r>
    </w:p>
    <w:p w14:paraId="76083734"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（八）权属变更。原土地使用权人与市城市土地储备中心依法申请办理土地权属变更登记手续；涉及地上建筑物的，依法办理房屋权属变更登记手续。</w:t>
      </w:r>
    </w:p>
    <w:p w14:paraId="343AAFC4"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（九）交付土地。根据《国有土地使用权收购合同》约定的期限和方式，原土地使用权人向市城市土地储备中心交付被收购的土地和地上建筑物。被收购的土地使用权一经交付，即纳入土地储备。</w:t>
      </w:r>
    </w:p>
    <w:p w14:paraId="4A75BF0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国有土地使用权人申请土地收购应当提供下列资料：</w:t>
      </w:r>
    </w:p>
    <w:p w14:paraId="222D6A2C"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（一）土地收购申请书；</w:t>
      </w:r>
    </w:p>
    <w:p w14:paraId="434EE789"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（二）申请人的身份证明；申请人是法人的，应提供法人资格证明和法定代表人身份证明；</w:t>
      </w:r>
    </w:p>
    <w:p w14:paraId="45154C89"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（三）授权委托书；</w:t>
      </w:r>
    </w:p>
    <w:p w14:paraId="5D25EE79"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（四）土地使用权合法凭证；</w:t>
      </w:r>
    </w:p>
    <w:p w14:paraId="133A7578"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（五）有地上建筑物的，应提供房屋所有权合法凭证；</w:t>
      </w:r>
    </w:p>
    <w:p w14:paraId="44B94A72"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（六）土地平面图；</w:t>
      </w:r>
    </w:p>
    <w:p w14:paraId="1369C6B1"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（七）依法需要提交的其他资料。</w:t>
      </w:r>
    </w:p>
    <w:p w14:paraId="5BF82E85"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《国有土地使用权收购合同》应当载明下列内容：</w:t>
      </w:r>
    </w:p>
    <w:p w14:paraId="5B1D8353"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（一）合同双方当事人；</w:t>
      </w:r>
    </w:p>
    <w:p w14:paraId="1643ED48"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（二）收购土地的位置、面积、用途及权属依据；</w:t>
      </w:r>
    </w:p>
    <w:p w14:paraId="46F2ACBC"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（三）土地收购补偿费用及其支付方式和期限；</w:t>
      </w:r>
    </w:p>
    <w:p w14:paraId="66D9905F"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（四）交付土地的期限和方式；</w:t>
      </w:r>
    </w:p>
    <w:p w14:paraId="438471D1"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（五）违约责任；</w:t>
      </w:r>
    </w:p>
    <w:p w14:paraId="4B0F2894"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（六）争议解决方式；</w:t>
      </w:r>
    </w:p>
    <w:p w14:paraId="1F94A4D0"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（七）双方约定的其他事项。</w:t>
      </w:r>
    </w:p>
    <w:p w14:paraId="24837A62"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以出让、租赁方式取得的土地使用权被收购时，原土地使用权出让或租赁合同自土地收购合同生效之日起解除。</w:t>
      </w:r>
    </w:p>
    <w:p w14:paraId="62FACBA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土地收购补偿费一般按被收购土地的开发成本计算。</w:t>
      </w:r>
    </w:p>
    <w:p w14:paraId="4A62CB03"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以出让方式获得的土地使用权，其收购补偿费还应包括对土地使用权人已支付的土地出让金的补偿，但应扣除原土地使用权人实际使用土地期间应付出的出让金部分。</w:t>
      </w:r>
    </w:p>
    <w:p w14:paraId="4B12FEAB"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土地收购补偿费可通过下列方式确定：</w:t>
      </w:r>
    </w:p>
    <w:p w14:paraId="32C0B206"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对以划拨方式取得的土地使用权，参照土地征用补偿费的平均水平确定；对以出让方式取得的土地使用权，依据市人民政府公布的市区土地基准地价进行综合测算确定。地上建筑物补偿费按房屋重置价格结合成新和价格调节系数分别测算确定。</w:t>
      </w:r>
    </w:p>
    <w:p w14:paraId="257A6A18"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（二）按住宅用地和工业用地基准地价中开发成本部分的中间价确定，开发成本的具体标准由市物价行政主管部门会同市土地、房地产行政主管部门测定。</w:t>
      </w:r>
    </w:p>
    <w:p w14:paraId="6444F35B"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以土地置换方式进行储备的，按前款规定的方式分别确定置换土地收购补偿费，由市城市土地储备中心与原土地使用权人结算差价。</w:t>
      </w:r>
    </w:p>
    <w:p w14:paraId="4438E5B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55D085E6"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第三章 储备土地前期开发利用</w:t>
      </w:r>
    </w:p>
    <w:p w14:paraId="3BADB726"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12580A8B"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市城市土地储备中心对收购储备的土地可以通过下列方式进行土地前期开发利用：</w:t>
      </w:r>
    </w:p>
    <w:p w14:paraId="569932E3"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（一）前期开发。在储备的土地使用权出让前，完成地上建筑物及附着物的拆迁、土地平整等前期开发工作。</w:t>
      </w:r>
    </w:p>
    <w:p w14:paraId="4E4217BD"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（二）土地利用。在储备的土地使用权出让前，依法将储备的土地使用权单独或连同地上建筑物出租、抵押、临时改变用途。</w:t>
      </w:r>
    </w:p>
    <w:p w14:paraId="58958F5E"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市城市土地储备中心对储备的土地使用权进行前期开发利用的，应持有关用地批准文件及《国有土地使用权收购合同》，依法到有关部门办理审批或登记手续。</w:t>
      </w:r>
    </w:p>
    <w:p w14:paraId="7CA9DD97"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储备的土地使用权，其地上建筑物及附着物需实施拆迁的，市计划行政主管部门应根据市城市土地储备中心的申请，办理储备土地前期开发立项审批手续；市城市规划行政主管部门应按照城市规划的要求办理建设红线审批手续。</w:t>
      </w:r>
    </w:p>
    <w:p w14:paraId="1BA6DEE5"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市城市土地储备中心应依法向有关部门申请办理房屋拆迁许可手续，委托城市房屋拆迁单位实施拆迁。</w:t>
      </w:r>
    </w:p>
    <w:p w14:paraId="6BC1C68A"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对储备的土地使用权进行前期开发利用，应当遵守国家法律、法规及其他有关规定，不得损害社会公共利益。</w:t>
      </w:r>
    </w:p>
    <w:p w14:paraId="03EA83B0"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56CAAB9C"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第四章 储备土地出让前的准备</w:t>
      </w:r>
    </w:p>
    <w:p w14:paraId="3826741C"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36413A5A"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市城市土地储备中心应当将储备土地的信息向社会公布并抄报市城市土地储备管理委员会各成员单位。</w:t>
      </w:r>
    </w:p>
    <w:p w14:paraId="7F6862E9"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市城市土地储备中心应对拟出让的储备土地的收购、前期开发成本进行测算，做好储备土地出让前的准备工作。</w:t>
      </w:r>
    </w:p>
    <w:p w14:paraId="62A78B24"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储备土地使用权用于房地产开发、商业、旅游、娱乐等经营性项目建设的，必须通过招标、拍卖确定开发单位。</w:t>
      </w:r>
    </w:p>
    <w:p w14:paraId="5091BFB7"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用于前款规定的项目建设以外的其他储备土地使用权，可以通过招标、拍卖确定开发单位，特殊情况下也可以通过协议约定开发单位。</w:t>
      </w:r>
    </w:p>
    <w:p w14:paraId="0274AEF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招标、拍卖出让储备土地使用权的，在市城市土地储备中心做好储备土地出让前的有关准备工作后，由市土地行政主管部门按照有关法律、法规、规章的规定组织土地使用权招标、拍卖， 所得价款中相当于土地开发补偿费的部分应直接支付给市城市土地储备中心。</w:t>
      </w:r>
    </w:p>
    <w:p w14:paraId="516816C3"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协议约定出让储备土地使用权的，市城市土地储备中心应将方案报市土地行政主管部门批准。</w:t>
      </w:r>
    </w:p>
    <w:p w14:paraId="213E0E10"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市城市土地储备中心应当与约定的开发单位签订约定开发土地协议书，作为《国有土地使用权出让合同》的附件。</w:t>
      </w:r>
    </w:p>
    <w:p w14:paraId="64AE3069"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开发单位应根据协议约定的期限、金额和方式，向市城市土地储备中心支付土地开发补偿费用，并依法申请办理协议出让的有关手续。</w:t>
      </w:r>
    </w:p>
    <w:p w14:paraId="0984199E"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土地开发补偿费包括土地收购、储备过程中发生的实际成本。</w:t>
      </w:r>
    </w:p>
    <w:p w14:paraId="2BD78456"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05FCAB17"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第五章 资金运作管理</w:t>
      </w:r>
    </w:p>
    <w:p w14:paraId="493C4EA6"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29A2001C"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市城市土地储备中心的资本金由市财政拨款。市城市土地储备中心可以以储备土地作抵押向金融机构申请贷款，筹集土地收购储备资金。</w:t>
      </w:r>
    </w:p>
    <w:p w14:paraId="46EB08CA"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土地收购储备资金运作受市财政行政主管部门的指导与监督。</w:t>
      </w:r>
    </w:p>
    <w:p w14:paraId="41BD0653" w14:textId="77777777" w:rsidR="004D78C1" w:rsidRDefault="004D78C1" w:rsidP="004D78C1">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土地收购储备资金监督管理办法，由市财政行政主管部门会同市审计、土地行政主管部门另行制定。</w:t>
      </w:r>
    </w:p>
    <w:p w14:paraId="0BA868EF"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56CE56F0"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第六章 法律责任</w:t>
      </w:r>
    </w:p>
    <w:p w14:paraId="44EA2548"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65A50ACE"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市城市土地储备中心未按规定支付土地收购补偿费用的，原土地使用权人有权解除土地收购合同，原土地使用权人已获得的定金不予返还。</w:t>
      </w:r>
    </w:p>
    <w:p w14:paraId="079C5DE7"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Calibri" w:eastAsia="仿宋" w:hAnsi="Calibri" w:cs="Calibri"/>
          <w:color w:val="333333"/>
          <w:sz w:val="32"/>
          <w:szCs w:val="32"/>
        </w:rPr>
        <w:t> </w:t>
      </w:r>
      <w:r>
        <w:rPr>
          <w:rFonts w:ascii="仿宋" w:eastAsia="仿宋" w:hAnsi="仿宋" w:hint="eastAsia"/>
          <w:color w:val="333333"/>
          <w:sz w:val="32"/>
          <w:szCs w:val="32"/>
        </w:rPr>
        <w:t>原土地使用权人未按合同约定交付土地及地上建筑物，或者在交付土地时，擅自处理地上建筑物的，市城市土地储备中心有权要求其改正并继续履行土地收购合同，并可要求原土地使用权人赔偿相应的经济损失。</w:t>
      </w:r>
    </w:p>
    <w:p w14:paraId="14CB0AF6"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原土地使用权人违反本办法第八条第二款规定，不申请办理土地收购储备手续的，由市土地行政主管部门责令限期改正；逾期不改正的，依法收回国有土地使用权。</w:t>
      </w:r>
    </w:p>
    <w:p w14:paraId="4C704101"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土地收购储备、前期开发利用中发生纠纷的，争议双方可依法向仲裁机构申请仲裁或向人民法院提起诉讼。</w:t>
      </w:r>
    </w:p>
    <w:p w14:paraId="097AA1B4"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土地储备工作人员玩忽职守，滥用职权，给国家、集体造成重大损失，或利用职务上的便利，索取和非法收受他人财物， 构成犯罪的，依法追究刑事责任；不构成犯罪的，给予相应的行政处分。</w:t>
      </w:r>
    </w:p>
    <w:p w14:paraId="409A1DCE"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73763024" w14:textId="77777777" w:rsidR="004D78C1" w:rsidRDefault="004D78C1" w:rsidP="004D78C1">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第七章 附 则</w:t>
      </w:r>
    </w:p>
    <w:p w14:paraId="1821B9C9"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p>
    <w:p w14:paraId="60E10C4A" w14:textId="77777777" w:rsidR="004D78C1" w:rsidRDefault="004D78C1" w:rsidP="004D78C1">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本办法自发布之日起施行。</w:t>
      </w:r>
    </w:p>
    <w:p w14:paraId="295356A0" w14:textId="21F197D3" w:rsidR="003E62A0" w:rsidRPr="004D78C1" w:rsidRDefault="003E62A0" w:rsidP="004D78C1">
      <w:pPr>
        <w:pStyle w:val="a7"/>
        <w:spacing w:before="0" w:beforeAutospacing="0" w:after="0" w:afterAutospacing="0" w:line="570" w:lineRule="atLeast"/>
        <w:ind w:firstLine="480"/>
        <w:jc w:val="center"/>
        <w:rPr>
          <w:rFonts w:ascii="仿宋" w:eastAsia="仿宋" w:hAnsi="仿宋"/>
          <w:color w:val="333333"/>
          <w:sz w:val="32"/>
          <w:szCs w:val="32"/>
        </w:rPr>
      </w:pPr>
    </w:p>
    <w:sectPr w:rsidR="003E62A0" w:rsidRPr="004D78C1">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86D4" w14:textId="77777777" w:rsidR="00F17255" w:rsidRDefault="00F17255">
      <w:r>
        <w:separator/>
      </w:r>
    </w:p>
  </w:endnote>
  <w:endnote w:type="continuationSeparator" w:id="0">
    <w:p w14:paraId="2D07DDC1" w14:textId="77777777" w:rsidR="00F17255" w:rsidRDefault="00F1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FF5B97"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25ABB" w14:textId="77777777" w:rsidR="00F17255" w:rsidRDefault="00F17255">
      <w:r>
        <w:separator/>
      </w:r>
    </w:p>
  </w:footnote>
  <w:footnote w:type="continuationSeparator" w:id="0">
    <w:p w14:paraId="20FE51EB" w14:textId="77777777" w:rsidR="00F17255" w:rsidRDefault="00F1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54586"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4D78C1"/>
    <w:rsid w:val="00651D0C"/>
    <w:rsid w:val="006B06D9"/>
    <w:rsid w:val="007F75B8"/>
    <w:rsid w:val="00A27D35"/>
    <w:rsid w:val="00AE702C"/>
    <w:rsid w:val="00D44E0F"/>
    <w:rsid w:val="00ED3908"/>
    <w:rsid w:val="00EF35E2"/>
    <w:rsid w:val="00F17255"/>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388592">
      <w:bodyDiv w:val="1"/>
      <w:marLeft w:val="0"/>
      <w:marRight w:val="0"/>
      <w:marTop w:val="0"/>
      <w:marBottom w:val="0"/>
      <w:divBdr>
        <w:top w:val="none" w:sz="0" w:space="0" w:color="auto"/>
        <w:left w:val="none" w:sz="0" w:space="0" w:color="auto"/>
        <w:bottom w:val="none" w:sz="0" w:space="0" w:color="auto"/>
        <w:right w:val="none" w:sz="0" w:space="0" w:color="auto"/>
      </w:divBdr>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10</cp:revision>
  <cp:lastPrinted>2021-09-22T01:19:00Z</cp:lastPrinted>
  <dcterms:created xsi:type="dcterms:W3CDTF">2021-09-09T02:41:00Z</dcterms:created>
  <dcterms:modified xsi:type="dcterms:W3CDTF">2022-02-14T07:26:00Z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